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</w:pPr>
      <w:r>
        <w:rPr>
          <w:rFonts w:ascii="Times New Roman" w:hAnsi="Times New Roman"/>
          <w:b w:val="1"/>
        </w:rPr>
        <w:t xml:space="preserve">Образцы форм обоснования начальной (максимальной) цены контракта, максимального </w:t>
      </w:r>
      <w:r>
        <w:rPr>
          <w:rFonts w:ascii="Times New Roman" w:hAnsi="Times New Roman"/>
          <w:b w:val="1"/>
        </w:rPr>
        <w:t xml:space="preserve">значения </w:t>
      </w:r>
      <w:r>
        <w:rPr>
          <w:rFonts w:ascii="Times New Roman" w:hAnsi="Times New Roman"/>
          <w:b w:val="1"/>
        </w:rPr>
        <w:t xml:space="preserve"> цены</w:t>
      </w:r>
      <w:r>
        <w:rPr>
          <w:rFonts w:ascii="Times New Roman" w:hAnsi="Times New Roman"/>
          <w:b w:val="1"/>
        </w:rPr>
        <w:t xml:space="preserve"> контракта, начальной цены единицы товара, работы, услуги, начальной суммы цен единиц  </w:t>
      </w:r>
      <w:r>
        <w:rPr>
          <w:rFonts w:ascii="Times New Roman" w:hAnsi="Times New Roman"/>
          <w:b w:val="1"/>
        </w:rPr>
        <w:t>товара, работы, услуги</w:t>
      </w:r>
    </w:p>
    <w:tbl>
      <w:tblPr>
        <w:tblStyle w:val="Style_2"/>
        <w:tblLayout w:type="fixed"/>
      </w:tblPr>
      <w:tblGrid>
        <w:gridCol w:w="675"/>
        <w:gridCol w:w="8990"/>
      </w:tblGrid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00000">
            <w:pPr>
              <w:widowControl w:val="0"/>
              <w:ind/>
              <w:jc w:val="center"/>
              <w:rPr>
                <w:b w:val="1"/>
              </w:rPr>
            </w:pPr>
            <w:r>
              <w:rPr>
                <w:b w:val="1"/>
              </w:rPr>
              <w:t>№ п/п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3000000">
            <w:pPr>
              <w:widowControl w:val="0"/>
              <w:ind/>
              <w:jc w:val="center"/>
              <w:rPr>
                <w:b w:val="1"/>
              </w:rPr>
            </w:pPr>
            <w:r>
              <w:rPr>
                <w:b w:val="1"/>
              </w:rPr>
              <w:t>Вид закупаемой продукции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left w:color="000000" w:sz="4" w:val="single"/>
              <w:bottom w:color="000000" w:sz="4" w:val="single"/>
              <w:right w:color="000000" w:sz="4" w:val="single"/>
            </w:tcBorders>
          </w:tcPr>
          <w:p w14:paraId="04000000">
            <w:pPr>
              <w:widowControl w:val="0"/>
              <w:ind/>
            </w:pPr>
            <w:r>
              <w:t>1</w:t>
            </w:r>
          </w:p>
        </w:tc>
        <w:tc>
          <w:tcPr>
            <w:tcW w:type="dxa" w:w="8990"/>
            <w:tcBorders>
              <w:left w:color="000000" w:sz="4" w:val="single"/>
              <w:bottom w:color="000000" w:sz="4" w:val="single"/>
              <w:right w:color="000000" w:sz="4" w:val="single"/>
            </w:tcBorders>
          </w:tcPr>
          <w:p w14:paraId="05000000">
            <w:pPr>
              <w:widowControl w:val="0"/>
              <w:ind/>
            </w:pPr>
            <w:r>
              <w:t xml:space="preserve">поставка товаров </w:t>
            </w:r>
            <w:r>
              <w:t>(выполнение работ, оказание услуг)</w:t>
            </w:r>
            <w:r>
              <w:t xml:space="preserve"> (с объемом)</w:t>
            </w:r>
            <w:r>
              <w:t xml:space="preserve"> при выборе </w:t>
            </w:r>
            <w:r>
              <w:t>метода сопоставимых рыночных цен (анализа рынка)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00000">
            <w:pPr>
              <w:widowControl w:val="0"/>
              <w:ind/>
            </w:pPr>
            <w:r>
              <w:t>2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00000">
            <w:pPr>
              <w:widowControl w:val="0"/>
              <w:ind/>
            </w:pPr>
            <w:r>
              <w:t>поставка товаров (выполнение работ, оказание услуг (без объема)</w:t>
            </w:r>
            <w:r>
              <w:t xml:space="preserve"> при выборе </w:t>
            </w:r>
            <w:r>
              <w:t>метода сопоставимых рыночных цен (анализа рынка)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00000">
            <w:pPr>
              <w:widowControl w:val="0"/>
              <w:ind/>
            </w:pPr>
            <w:r>
              <w:t>3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00000">
            <w:pPr>
              <w:widowControl w:val="0"/>
              <w:ind/>
            </w:pPr>
            <w:r>
              <w:t>поставка товаров (выполнение работ, оказание услуг)</w:t>
            </w:r>
            <w:r>
              <w:t xml:space="preserve"> </w:t>
            </w:r>
            <w:r>
              <w:t>при выборе тарифного метода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widowControl w:val="0"/>
              <w:ind/>
            </w:pPr>
            <w:r>
              <w:t>4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widowControl w:val="0"/>
              <w:ind/>
            </w:pPr>
            <w:r>
              <w:t>поставка товаров (выполнение работ, оказание услуг)</w:t>
            </w:r>
            <w:r>
              <w:t xml:space="preserve"> </w:t>
            </w:r>
            <w:r>
              <w:t>при выборе нормативного метода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widowControl w:val="0"/>
              <w:ind/>
            </w:pPr>
            <w:r>
              <w:t>5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0"/>
              <w:ind/>
            </w:pPr>
            <w:r>
              <w:t xml:space="preserve">выполнение подрядных работ по строительству, реконструкции, капитальному </w:t>
            </w:r>
            <w:r>
              <w:t>ремонту,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а также строительства некапитальных строений и сооружений (</w:t>
            </w:r>
            <w:r>
              <w:t>Протокол  начально</w:t>
            </w:r>
            <w:bookmarkStart w:id="1" w:name="_GoBack"/>
            <w:bookmarkEnd w:id="1"/>
            <w:r>
              <w:t>й</w:t>
            </w:r>
            <w:r>
              <w:t xml:space="preserve"> (максимальной</w:t>
            </w:r>
            <w:r>
              <w:t>) цены контракта)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0"/>
              <w:ind/>
            </w:pPr>
            <w:r>
              <w:t>6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00000">
            <w:pPr>
              <w:widowControl w:val="0"/>
              <w:ind/>
            </w:pPr>
            <w:r>
              <w:t>при осуществлении закупок подрядных работ по инженерным</w:t>
            </w:r>
          </w:p>
          <w:p w14:paraId="10000000">
            <w:pPr>
              <w:widowControl w:val="0"/>
              <w:ind/>
            </w:pPr>
            <w:r>
              <w:t>изысканиям и (или) по подготовке проектной документации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widowControl w:val="0"/>
              <w:ind/>
            </w:pPr>
            <w:r>
              <w:t>7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widowControl w:val="0"/>
              <w:ind/>
            </w:pPr>
            <w:r>
              <w:t>при осуществлении закупок услуг по исполнению функций технического заказчика</w:t>
            </w:r>
          </w:p>
        </w:tc>
      </w:tr>
      <w:tr>
        <w:trPr>
          <w:trHeight w:hRule="atLeast" w:val="805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widowControl w:val="0"/>
              <w:ind/>
            </w:pPr>
            <w:r>
              <w:t>8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widowControl w:val="0"/>
              <w:ind/>
            </w:pPr>
            <w:r>
              <w:t xml:space="preserve">при осуществлении закупок на выполнение </w:t>
            </w:r>
            <w:r>
              <w:t>подрядных работ по строительству, реконструкции, капитальному ремонту, сносу объектов капитального строительства, работам</w:t>
            </w:r>
          </w:p>
          <w:p w14:paraId="15000000">
            <w:pPr>
              <w:widowControl w:val="0"/>
              <w:ind/>
            </w:pPr>
            <w:r>
              <w:t>по сохранению объектов культурного наследия (памятников истории и культуры) народов Российской Федерации и выполнению строительных раб</w:t>
            </w:r>
            <w:r>
              <w:t>от в отношении объектов, не являющихся объектами капитального строительства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widowControl w:val="0"/>
              <w:ind/>
            </w:pPr>
            <w:r>
              <w:t>9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widowControl w:val="0"/>
              <w:ind/>
            </w:pPr>
            <w:r>
              <w:t xml:space="preserve">предметом контракта одновременно является подготовка проектной документации и (или) выполнение инженерных изысканий, выполнение работ по строительству, реконструкции и (или) </w:t>
            </w:r>
            <w:r>
              <w:t>капитальному ремонту объектов капитального строительства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widowControl w:val="0"/>
              <w:ind/>
            </w:pPr>
            <w:r>
              <w:t>10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widowControl w:val="0"/>
              <w:ind/>
            </w:pPr>
            <w:r>
              <w:t>при осуществлении закупок охранных услуг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widowControl w:val="0"/>
              <w:ind/>
            </w:pPr>
            <w:r>
              <w:t>11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widowControl w:val="0"/>
              <w:ind/>
            </w:pPr>
            <w:r>
              <w:t>при осуществлении закупок услуг юридических лиц с особыми уставными задачами по охране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widowControl w:val="0"/>
              <w:ind/>
            </w:pPr>
            <w:r>
              <w:t>12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widowControl w:val="0"/>
              <w:ind/>
            </w:pPr>
            <w:r>
              <w:t>выполнение подрядных работ по строительству, реконструкции,</w:t>
            </w:r>
            <w:r>
              <w:t xml:space="preserve"> капитальному ремонту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widowControl w:val="0"/>
              <w:ind/>
            </w:pPr>
            <w:r>
              <w:t>13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widowControl w:val="0"/>
              <w:ind/>
            </w:pPr>
            <w:r>
              <w:t>на поставку медицинских изделий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widowControl w:val="0"/>
              <w:ind/>
            </w:pPr>
            <w:r>
              <w:t>14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widowControl w:val="0"/>
              <w:ind/>
            </w:pPr>
            <w:r>
              <w:t>при осуществлении закупок лекарственных препаратов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widowControl w:val="0"/>
              <w:ind/>
            </w:pPr>
            <w:r>
              <w:t>15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widowControl w:val="0"/>
              <w:ind/>
            </w:pPr>
            <w:r>
              <w:t>оказание услуг по обязательному страхованию гражданской ответственности владельцев транспортных средств (ОСАГО)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widowControl w:val="0"/>
              <w:ind/>
            </w:pPr>
            <w:r>
              <w:t>16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widowControl w:val="0"/>
              <w:ind/>
            </w:pPr>
            <w:r>
              <w:t xml:space="preserve">поставка товаров </w:t>
            </w:r>
            <w:r>
              <w:t>(выполнение работ, оказание услуг)</w:t>
            </w:r>
            <w:r>
              <w:t xml:space="preserve"> (с объемом) </w:t>
            </w:r>
            <w:r>
              <w:t>в случае неприменения особенностей определения НМЦК, установленных подпунктом «в» пункта 7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— постановление № 1875), при применении метода сопоставимых рыночных цен (анализа рынка) по причине наступления случая, предусмотренного абзацем шестым подпункта «г» пункта 7 постановления № 1875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widowControl w:val="0"/>
              <w:ind/>
            </w:pPr>
            <w:r>
              <w:t>17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widowControl w:val="0"/>
              <w:ind/>
            </w:pPr>
            <w:r>
              <w:t xml:space="preserve">поставка товаров (выполнение работ, оказание услуг (без объема) </w:t>
            </w:r>
            <w:r>
              <w:t>в случае неприменения особенностей определения начальной цены единицы товара, работы, услуги, установленных подпунктом «в» пункта 7 постановления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— постановление № 1875), при применении метода сопоставимых рыночных цен (анализа рынка) по причине наступления случая, предусмотренного абзацем шестым подпункта «г» пункта 7 постановления № 1875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widowControl w:val="0"/>
              <w:ind/>
            </w:pPr>
            <w:r>
              <w:t>18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widowControl w:val="0"/>
              <w:ind/>
            </w:pPr>
            <w:r>
              <w:t>поставка топлива моторного, включая автомобильный и авиационный бензин (с объемом), осуществляемых на топливораздаточных колонках посредством отгрузки в бак (емкость) автомобильного транспорта в соответствии с пунктами 6-11 приказа ФАС России от 22.11.2024 № 894/24 «Об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 работы услуги при осуществлении закупок топлива моторного, включая автомобильный и авиационный бензин»)</w:t>
            </w:r>
          </w:p>
        </w:tc>
      </w:tr>
      <w:tr>
        <w:trPr>
          <w:trHeight w:hRule="atLeast" w:val="360"/>
        </w:trPr>
        <w:tc>
          <w:tcPr>
            <w:tcW w:type="dxa" w:w="6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widowControl w:val="0"/>
              <w:ind/>
            </w:pPr>
            <w:r>
              <w:t>19</w:t>
            </w:r>
          </w:p>
        </w:tc>
        <w:tc>
          <w:tcPr>
            <w:tcW w:type="dxa" w:w="899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widowControl w:val="0"/>
              <w:ind/>
            </w:pPr>
            <w:r>
              <w:t>поставка топлива моторного, включая автомобильный и авиационный бензин (без объема), осуществляемых на топливораздаточных колонках посредством отгрузки в бак (емкость) автомобильного транспорта в соответствии с пунктами 6-11 приказа ФАС России от 22.11.2024 № 894/24 «Об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 работы услуги при осуществлении закупок топлива моторного, включая автомобильный и авиационный бензин»)</w:t>
            </w:r>
          </w:p>
        </w:tc>
      </w:tr>
    </w:tbl>
    <w:p w14:paraId="2C000000"/>
    <w:sectPr>
      <w:pgSz w:h="16838" w:orient="portrait" w:w="11906"/>
      <w:pgMar w:bottom="1134" w:footer="0" w:gutter="0" w:header="0" w:left="1304" w:right="73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ind/>
      <w:jc w:val="both"/>
    </w:pPr>
    <w:rPr>
      <w:sz w:val="28"/>
    </w:rPr>
  </w:style>
  <w:style w:default="1" w:styleId="Style_3_ch" w:type="character">
    <w:name w:val="Normal"/>
    <w:link w:val="Style_3"/>
    <w:rPr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</w:pPr>
    <w:rPr>
      <w:sz w:val="28"/>
    </w:rPr>
  </w:style>
  <w:style w:styleId="Style_4_ch" w:type="character">
    <w:name w:val="toc 2"/>
    <w:link w:val="Style_4"/>
    <w:rPr>
      <w:sz w:val="28"/>
    </w:rPr>
  </w:style>
  <w:style w:styleId="Style_5" w:type="paragraph">
    <w:name w:val="caption"/>
    <w:basedOn w:val="Style_3"/>
    <w:link w:val="Style_5_ch"/>
    <w:pPr>
      <w:spacing w:after="120" w:before="120"/>
      <w:ind/>
    </w:pPr>
    <w:rPr>
      <w:i w:val="1"/>
      <w:sz w:val="24"/>
    </w:rPr>
  </w:style>
  <w:style w:styleId="Style_5_ch" w:type="character">
    <w:name w:val="caption"/>
    <w:basedOn w:val="Style_3_ch"/>
    <w:link w:val="Style_5"/>
    <w:rPr>
      <w:i w:val="1"/>
      <w:sz w:val="24"/>
    </w:rPr>
  </w:style>
  <w:style w:styleId="Style_6" w:type="paragraph">
    <w:name w:val="toc 4"/>
    <w:next w:val="Style_3"/>
    <w:link w:val="Style_6_ch"/>
    <w:uiPriority w:val="39"/>
    <w:pPr>
      <w:ind w:firstLine="0" w:left="600"/>
    </w:pPr>
    <w:rPr>
      <w:sz w:val="28"/>
    </w:rPr>
  </w:style>
  <w:style w:styleId="Style_6_ch" w:type="character">
    <w:name w:val="toc 4"/>
    <w:link w:val="Style_6"/>
    <w:rPr>
      <w:sz w:val="28"/>
    </w:rPr>
  </w:style>
  <w:style w:styleId="Style_7" w:type="paragraph">
    <w:name w:val="Название1"/>
    <w:link w:val="Style_7_ch"/>
    <w:rPr>
      <w:rFonts w:ascii="XO Thames" w:hAnsi="XO Thames"/>
      <w:b w:val="1"/>
      <w:caps w:val="1"/>
      <w:sz w:val="40"/>
    </w:rPr>
  </w:style>
  <w:style w:styleId="Style_7_ch" w:type="character">
    <w:name w:val="Название1"/>
    <w:link w:val="Style_7"/>
    <w:rPr>
      <w:rFonts w:ascii="XO Thames" w:hAnsi="XO Thames"/>
      <w:b w:val="1"/>
      <w:caps w:val="1"/>
      <w:sz w:val="40"/>
    </w:rPr>
  </w:style>
  <w:style w:styleId="Style_8" w:type="paragraph">
    <w:name w:val="index heading"/>
    <w:basedOn w:val="Style_3"/>
    <w:link w:val="Style_8_ch"/>
  </w:style>
  <w:style w:styleId="Style_8_ch" w:type="character">
    <w:name w:val="index heading"/>
    <w:basedOn w:val="Style_3_ch"/>
    <w:link w:val="Style_8"/>
  </w:style>
  <w:style w:styleId="Style_9" w:type="paragraph">
    <w:name w:val="Contents 7"/>
    <w:link w:val="Style_9_ch"/>
    <w:rPr>
      <w:rFonts w:ascii="XO Thames" w:hAnsi="XO Thames"/>
      <w:sz w:val="28"/>
    </w:rPr>
  </w:style>
  <w:style w:styleId="Style_9_ch" w:type="character">
    <w:name w:val="Contents 7"/>
    <w:link w:val="Style_9"/>
    <w:rPr>
      <w:rFonts w:ascii="XO Thames" w:hAnsi="XO Thames"/>
      <w:sz w:val="28"/>
    </w:rPr>
  </w:style>
  <w:style w:styleId="Style_10" w:type="paragraph">
    <w:name w:val="toc 6"/>
    <w:next w:val="Style_3"/>
    <w:link w:val="Style_10_ch"/>
    <w:uiPriority w:val="39"/>
    <w:pPr>
      <w:ind w:firstLine="0" w:left="1000"/>
    </w:pPr>
    <w:rPr>
      <w:sz w:val="28"/>
    </w:rPr>
  </w:style>
  <w:style w:styleId="Style_10_ch" w:type="character">
    <w:name w:val="toc 6"/>
    <w:link w:val="Style_10"/>
    <w:rPr>
      <w:sz w:val="28"/>
    </w:rPr>
  </w:style>
  <w:style w:styleId="Style_11" w:type="paragraph">
    <w:name w:val="toc 7"/>
    <w:next w:val="Style_3"/>
    <w:link w:val="Style_11_ch"/>
    <w:uiPriority w:val="39"/>
    <w:pPr>
      <w:ind w:firstLine="0" w:left="1200"/>
    </w:pPr>
    <w:rPr>
      <w:sz w:val="28"/>
    </w:rPr>
  </w:style>
  <w:style w:styleId="Style_11_ch" w:type="character">
    <w:name w:val="toc 7"/>
    <w:link w:val="Style_11"/>
    <w:rPr>
      <w:sz w:val="28"/>
    </w:rPr>
  </w:style>
  <w:style w:styleId="Style_12" w:type="paragraph">
    <w:name w:val="Заголовок 11"/>
    <w:link w:val="Style_12_ch"/>
    <w:rPr>
      <w:rFonts w:ascii="XO Thames" w:hAnsi="XO Thames"/>
      <w:b w:val="1"/>
      <w:sz w:val="32"/>
    </w:rPr>
  </w:style>
  <w:style w:styleId="Style_12_ch" w:type="character">
    <w:name w:val="Заголовок 11"/>
    <w:link w:val="Style_12"/>
    <w:rPr>
      <w:rFonts w:ascii="XO Thames" w:hAnsi="XO Thames"/>
      <w:b w:val="1"/>
      <w:sz w:val="32"/>
    </w:rPr>
  </w:style>
  <w:style w:styleId="Style_13" w:type="paragraph">
    <w:name w:val="Интернет-ссылка"/>
    <w:link w:val="Style_13_ch"/>
    <w:rPr>
      <w:color w:val="0000FF"/>
      <w:u w:val="single"/>
    </w:rPr>
  </w:style>
  <w:style w:styleId="Style_13_ch" w:type="character">
    <w:name w:val="Интернет-ссылка"/>
    <w:link w:val="Style_13"/>
    <w:rPr>
      <w:color w:val="0000FF"/>
      <w:u w:val="single"/>
    </w:rPr>
  </w:style>
  <w:style w:styleId="Style_14" w:type="paragraph">
    <w:name w:val="Заголовок 51"/>
    <w:link w:val="Style_14_ch"/>
    <w:rPr>
      <w:rFonts w:ascii="XO Thames" w:hAnsi="XO Thames"/>
      <w:b w:val="1"/>
      <w:sz w:val="22"/>
    </w:rPr>
  </w:style>
  <w:style w:styleId="Style_14_ch" w:type="character">
    <w:name w:val="Заголовок 51"/>
    <w:link w:val="Style_14"/>
    <w:rPr>
      <w:rFonts w:ascii="XO Thames" w:hAnsi="XO Thames"/>
      <w:b w:val="1"/>
      <w:sz w:val="22"/>
    </w:rPr>
  </w:style>
  <w:style w:styleId="Style_15" w:type="paragraph">
    <w:name w:val="Contents 8"/>
    <w:link w:val="Style_15_ch"/>
    <w:rPr>
      <w:rFonts w:ascii="XO Thames" w:hAnsi="XO Thames"/>
      <w:sz w:val="28"/>
    </w:rPr>
  </w:style>
  <w:style w:styleId="Style_15_ch" w:type="character">
    <w:name w:val="Contents 8"/>
    <w:link w:val="Style_15"/>
    <w:rPr>
      <w:rFonts w:ascii="XO Thames" w:hAnsi="XO Thames"/>
      <w:sz w:val="28"/>
    </w:rPr>
  </w:style>
  <w:style w:styleId="Style_16" w:type="paragraph">
    <w:name w:val="Endnote"/>
    <w:link w:val="Style_16_ch"/>
    <w:rPr>
      <w:rFonts w:ascii="XO Thames" w:hAnsi="XO Thames"/>
      <w:sz w:val="22"/>
    </w:rPr>
  </w:style>
  <w:style w:styleId="Style_16_ch" w:type="character">
    <w:name w:val="Endnote"/>
    <w:link w:val="Style_16"/>
    <w:rPr>
      <w:rFonts w:ascii="XO Thames" w:hAnsi="XO Thames"/>
      <w:sz w:val="22"/>
    </w:rPr>
  </w:style>
  <w:style w:styleId="Style_17" w:type="paragraph">
    <w:name w:val="heading 3"/>
    <w:next w:val="Style_3"/>
    <w:link w:val="Style_17_ch"/>
    <w:uiPriority w:val="9"/>
    <w:qFormat/>
    <w:pPr>
      <w:spacing w:after="120" w:before="120"/>
      <w:ind/>
      <w:jc w:val="both"/>
      <w:outlineLvl w:val="2"/>
    </w:pPr>
    <w:rPr>
      <w:b w:val="1"/>
      <w:sz w:val="26"/>
    </w:rPr>
  </w:style>
  <w:style w:styleId="Style_17_ch" w:type="character">
    <w:name w:val="heading 3"/>
    <w:link w:val="Style_17"/>
    <w:rPr>
      <w:b w:val="1"/>
      <w:sz w:val="26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Заголовок 21"/>
    <w:link w:val="Style_19_ch"/>
    <w:rPr>
      <w:rFonts w:ascii="XO Thames" w:hAnsi="XO Thames"/>
      <w:b w:val="1"/>
      <w:sz w:val="28"/>
    </w:rPr>
  </w:style>
  <w:style w:styleId="Style_19_ch" w:type="character">
    <w:name w:val="Заголовок 21"/>
    <w:link w:val="Style_19"/>
    <w:rPr>
      <w:rFonts w:ascii="XO Thames" w:hAnsi="XO Thames"/>
      <w:b w:val="1"/>
      <w:sz w:val="28"/>
    </w:rPr>
  </w:style>
  <w:style w:styleId="Style_20" w:type="paragraph">
    <w:name w:val="Endnote"/>
    <w:link w:val="Style_20_ch"/>
    <w:pPr>
      <w:ind w:firstLine="851" w:left="0"/>
      <w:jc w:val="both"/>
    </w:pPr>
    <w:rPr>
      <w:sz w:val="22"/>
    </w:rPr>
  </w:style>
  <w:style w:styleId="Style_20_ch" w:type="character">
    <w:name w:val="Endnote"/>
    <w:link w:val="Style_20"/>
    <w:rPr>
      <w:sz w:val="22"/>
    </w:rPr>
  </w:style>
  <w:style w:styleId="Style_21" w:type="paragraph">
    <w:name w:val="Верхний и нижний колонтитулы"/>
    <w:link w:val="Style_21_ch"/>
    <w:pPr>
      <w:ind/>
      <w:jc w:val="both"/>
    </w:pPr>
    <w:rPr>
      <w:sz w:val="20"/>
    </w:rPr>
  </w:style>
  <w:style w:styleId="Style_21_ch" w:type="character">
    <w:name w:val="Верхний и нижний колонтитулы"/>
    <w:link w:val="Style_21"/>
    <w:rPr>
      <w:sz w:val="20"/>
    </w:rPr>
  </w:style>
  <w:style w:styleId="Style_22" w:type="paragraph">
    <w:name w:val="Contents 1"/>
    <w:link w:val="Style_22_ch"/>
    <w:rPr>
      <w:rFonts w:ascii="XO Thames" w:hAnsi="XO Thames"/>
      <w:b w:val="1"/>
      <w:sz w:val="28"/>
    </w:rPr>
  </w:style>
  <w:style w:styleId="Style_22_ch" w:type="character">
    <w:name w:val="Contents 1"/>
    <w:link w:val="Style_22"/>
    <w:rPr>
      <w:rFonts w:ascii="XO Thames" w:hAnsi="XO Thames"/>
      <w:b w:val="1"/>
      <w:sz w:val="28"/>
    </w:rPr>
  </w:style>
  <w:style w:styleId="Style_23" w:type="paragraph">
    <w:name w:val="Contents 2"/>
    <w:link w:val="Style_23_ch"/>
    <w:rPr>
      <w:rFonts w:ascii="XO Thames" w:hAnsi="XO Thames"/>
      <w:sz w:val="28"/>
    </w:rPr>
  </w:style>
  <w:style w:styleId="Style_23_ch" w:type="character">
    <w:name w:val="Contents 2"/>
    <w:link w:val="Style_23"/>
    <w:rPr>
      <w:rFonts w:ascii="XO Thames" w:hAnsi="XO Thames"/>
      <w:sz w:val="28"/>
    </w:rPr>
  </w:style>
  <w:style w:styleId="Style_24" w:type="paragraph">
    <w:name w:val="Contents 4"/>
    <w:link w:val="Style_24_ch"/>
    <w:rPr>
      <w:rFonts w:ascii="XO Thames" w:hAnsi="XO Thames"/>
      <w:sz w:val="28"/>
    </w:rPr>
  </w:style>
  <w:style w:styleId="Style_24_ch" w:type="character">
    <w:name w:val="Contents 4"/>
    <w:link w:val="Style_24"/>
    <w:rPr>
      <w:rFonts w:ascii="XO Thames" w:hAnsi="XO Thames"/>
      <w:sz w:val="28"/>
    </w:rPr>
  </w:style>
  <w:style w:styleId="Style_25" w:type="paragraph">
    <w:name w:val="toc 3"/>
    <w:next w:val="Style_3"/>
    <w:link w:val="Style_25_ch"/>
    <w:uiPriority w:val="39"/>
    <w:pPr>
      <w:ind w:firstLine="0" w:left="400"/>
    </w:pPr>
    <w:rPr>
      <w:sz w:val="28"/>
    </w:rPr>
  </w:style>
  <w:style w:styleId="Style_25_ch" w:type="character">
    <w:name w:val="toc 3"/>
    <w:link w:val="Style_25"/>
    <w:rPr>
      <w:sz w:val="28"/>
    </w:rPr>
  </w:style>
  <w:style w:styleId="Style_26" w:type="paragraph">
    <w:name w:val="Заголовок таблицы"/>
    <w:basedOn w:val="Style_27"/>
    <w:link w:val="Style_26_ch"/>
    <w:pPr>
      <w:ind/>
      <w:jc w:val="center"/>
    </w:pPr>
    <w:rPr>
      <w:b w:val="1"/>
    </w:rPr>
  </w:style>
  <w:style w:styleId="Style_26_ch" w:type="character">
    <w:name w:val="Заголовок таблицы"/>
    <w:basedOn w:val="Style_27_ch"/>
    <w:link w:val="Style_26"/>
    <w:rPr>
      <w:b w:val="1"/>
    </w:rPr>
  </w:style>
  <w:style w:styleId="Style_28" w:type="paragraph">
    <w:name w:val="Заголовок"/>
    <w:basedOn w:val="Style_3"/>
    <w:next w:val="Style_1"/>
    <w:link w:val="Style_28_ch"/>
    <w:pPr>
      <w:keepNext w:val="1"/>
      <w:spacing w:after="120" w:before="240"/>
      <w:ind/>
    </w:pPr>
    <w:rPr>
      <w:rFonts w:ascii="Liberation Sans" w:hAnsi="Liberation Sans"/>
    </w:rPr>
  </w:style>
  <w:style w:styleId="Style_28_ch" w:type="character">
    <w:name w:val="Заголовок"/>
    <w:basedOn w:val="Style_3_ch"/>
    <w:link w:val="Style_28"/>
    <w:rPr>
      <w:rFonts w:ascii="Liberation Sans" w:hAnsi="Liberation Sans"/>
    </w:rPr>
  </w:style>
  <w:style w:styleId="Style_29" w:type="paragraph">
    <w:name w:val="Contents 9"/>
    <w:link w:val="Style_29_ch"/>
    <w:rPr>
      <w:rFonts w:ascii="XO Thames" w:hAnsi="XO Thames"/>
      <w:sz w:val="28"/>
    </w:rPr>
  </w:style>
  <w:style w:styleId="Style_29_ch" w:type="character">
    <w:name w:val="Contents 9"/>
    <w:link w:val="Style_29"/>
    <w:rPr>
      <w:rFonts w:ascii="XO Thames" w:hAnsi="XO Thames"/>
      <w:sz w:val="28"/>
    </w:rPr>
  </w:style>
  <w:style w:styleId="Style_30" w:type="paragraph">
    <w:name w:val="Contents 5"/>
    <w:link w:val="Style_30_ch"/>
    <w:rPr>
      <w:rFonts w:ascii="XO Thames" w:hAnsi="XO Thames"/>
      <w:sz w:val="28"/>
    </w:rPr>
  </w:style>
  <w:style w:styleId="Style_30_ch" w:type="character">
    <w:name w:val="Contents 5"/>
    <w:link w:val="Style_30"/>
    <w:rPr>
      <w:rFonts w:ascii="XO Thames" w:hAnsi="XO Thames"/>
      <w:sz w:val="28"/>
    </w:rPr>
  </w:style>
  <w:style w:styleId="Style_31" w:type="paragraph">
    <w:name w:val="heading 5"/>
    <w:next w:val="Style_3"/>
    <w:link w:val="Style_31_ch"/>
    <w:uiPriority w:val="9"/>
    <w:qFormat/>
    <w:pPr>
      <w:spacing w:after="120" w:before="120"/>
      <w:ind/>
      <w:jc w:val="both"/>
      <w:outlineLvl w:val="4"/>
    </w:pPr>
    <w:rPr>
      <w:b w:val="1"/>
      <w:sz w:val="22"/>
    </w:rPr>
  </w:style>
  <w:style w:styleId="Style_31_ch" w:type="character">
    <w:name w:val="heading 5"/>
    <w:link w:val="Style_31"/>
    <w:rPr>
      <w:b w:val="1"/>
      <w:sz w:val="22"/>
    </w:rPr>
  </w:style>
  <w:style w:styleId="Style_32" w:type="paragraph">
    <w:name w:val="heading 1"/>
    <w:next w:val="Style_3"/>
    <w:link w:val="Style_32_ch"/>
    <w:uiPriority w:val="9"/>
    <w:qFormat/>
    <w:pPr>
      <w:spacing w:after="120" w:before="120"/>
      <w:ind/>
      <w:jc w:val="both"/>
      <w:outlineLvl w:val="0"/>
    </w:pPr>
    <w:rPr>
      <w:b w:val="1"/>
      <w:sz w:val="32"/>
    </w:rPr>
  </w:style>
  <w:style w:styleId="Style_32_ch" w:type="character">
    <w:name w:val="heading 1"/>
    <w:link w:val="Style_32"/>
    <w:rPr>
      <w:b w:val="1"/>
      <w:sz w:val="32"/>
    </w:rPr>
  </w:style>
  <w:style w:styleId="Style_33" w:type="paragraph">
    <w:name w:val="Заголовок 31"/>
    <w:link w:val="Style_33_ch"/>
    <w:rPr>
      <w:rFonts w:ascii="XO Thames" w:hAnsi="XO Thames"/>
      <w:b w:val="1"/>
      <w:sz w:val="26"/>
    </w:rPr>
  </w:style>
  <w:style w:styleId="Style_33_ch" w:type="character">
    <w:name w:val="Заголовок 31"/>
    <w:link w:val="Style_33"/>
    <w:rPr>
      <w:rFonts w:ascii="XO Thames" w:hAnsi="XO Thames"/>
      <w:b w:val="1"/>
      <w:sz w:val="26"/>
    </w:rPr>
  </w:style>
  <w:style w:styleId="Style_34" w:type="paragraph">
    <w:name w:val="Hyperlink"/>
    <w:link w:val="Style_34_ch"/>
    <w:rPr>
      <w:color w:val="0000FF"/>
      <w:u w:val="single"/>
    </w:rPr>
  </w:style>
  <w:style w:styleId="Style_34_ch" w:type="character">
    <w:name w:val="Hyperlink"/>
    <w:link w:val="Style_34"/>
    <w:rPr>
      <w:color w:val="0000FF"/>
      <w:u w:val="single"/>
    </w:rPr>
  </w:style>
  <w:style w:styleId="Style_35" w:type="paragraph">
    <w:name w:val="Footnote"/>
    <w:link w:val="Style_35_ch"/>
    <w:pPr>
      <w:ind w:firstLine="851" w:left="0"/>
      <w:jc w:val="both"/>
    </w:pPr>
    <w:rPr>
      <w:sz w:val="22"/>
    </w:rPr>
  </w:style>
  <w:style w:styleId="Style_35_ch" w:type="character">
    <w:name w:val="Footnote"/>
    <w:link w:val="Style_35"/>
    <w:rPr>
      <w:sz w:val="22"/>
    </w:rPr>
  </w:style>
  <w:style w:styleId="Style_36" w:type="paragraph">
    <w:name w:val="toc 1"/>
    <w:next w:val="Style_3"/>
    <w:link w:val="Style_36_ch"/>
    <w:uiPriority w:val="39"/>
    <w:rPr>
      <w:b w:val="1"/>
      <w:sz w:val="28"/>
    </w:rPr>
  </w:style>
  <w:style w:styleId="Style_36_ch" w:type="character">
    <w:name w:val="toc 1"/>
    <w:link w:val="Style_36"/>
    <w:rPr>
      <w:b w:val="1"/>
      <w:sz w:val="28"/>
    </w:rPr>
  </w:style>
  <w:style w:styleId="Style_37" w:type="paragraph">
    <w:name w:val="Contents 3"/>
    <w:link w:val="Style_37_ch"/>
    <w:rPr>
      <w:rFonts w:ascii="XO Thames" w:hAnsi="XO Thames"/>
      <w:sz w:val="28"/>
    </w:rPr>
  </w:style>
  <w:style w:styleId="Style_37_ch" w:type="character">
    <w:name w:val="Contents 3"/>
    <w:link w:val="Style_37"/>
    <w:rPr>
      <w:rFonts w:ascii="XO Thames" w:hAnsi="XO Thames"/>
      <w:sz w:val="28"/>
    </w:rPr>
  </w:style>
  <w:style w:styleId="Style_38" w:type="paragraph">
    <w:name w:val="Header and Footer"/>
    <w:link w:val="Style_38_ch"/>
    <w:rPr>
      <w:rFonts w:ascii="XO Thames" w:hAnsi="XO Thames"/>
      <w:sz w:val="20"/>
    </w:rPr>
  </w:style>
  <w:style w:styleId="Style_38_ch" w:type="character">
    <w:name w:val="Header and Footer"/>
    <w:link w:val="Style_38"/>
    <w:rPr>
      <w:rFonts w:ascii="XO Thames" w:hAnsi="XO Thames"/>
      <w:sz w:val="20"/>
    </w:rPr>
  </w:style>
  <w:style w:styleId="Style_39" w:type="paragraph">
    <w:name w:val="Подзаголовок1"/>
    <w:link w:val="Style_39_ch"/>
    <w:rPr>
      <w:rFonts w:ascii="XO Thames" w:hAnsi="XO Thames"/>
      <w:i w:val="1"/>
      <w:sz w:val="24"/>
    </w:rPr>
  </w:style>
  <w:style w:styleId="Style_39_ch" w:type="character">
    <w:name w:val="Подзаголовок1"/>
    <w:link w:val="Style_39"/>
    <w:rPr>
      <w:rFonts w:ascii="XO Thames" w:hAnsi="XO Thames"/>
      <w:i w:val="1"/>
      <w:sz w:val="24"/>
    </w:rPr>
  </w:style>
  <w:style w:styleId="Style_40" w:type="paragraph">
    <w:name w:val="Contents 6"/>
    <w:link w:val="Style_40_ch"/>
    <w:rPr>
      <w:rFonts w:ascii="XO Thames" w:hAnsi="XO Thames"/>
      <w:sz w:val="28"/>
    </w:rPr>
  </w:style>
  <w:style w:styleId="Style_40_ch" w:type="character">
    <w:name w:val="Contents 6"/>
    <w:link w:val="Style_40"/>
    <w:rPr>
      <w:rFonts w:ascii="XO Thames" w:hAnsi="XO Thames"/>
      <w:sz w:val="28"/>
    </w:rPr>
  </w:style>
  <w:style w:styleId="Style_41" w:type="paragraph">
    <w:name w:val="toc 9"/>
    <w:next w:val="Style_3"/>
    <w:link w:val="Style_41_ch"/>
    <w:uiPriority w:val="39"/>
    <w:pPr>
      <w:ind w:firstLine="0" w:left="1600"/>
    </w:pPr>
    <w:rPr>
      <w:sz w:val="28"/>
    </w:rPr>
  </w:style>
  <w:style w:styleId="Style_41_ch" w:type="character">
    <w:name w:val="toc 9"/>
    <w:link w:val="Style_41"/>
    <w:rPr>
      <w:sz w:val="28"/>
    </w:rPr>
  </w:style>
  <w:style w:styleId="Style_42" w:type="paragraph">
    <w:name w:val="toc 8"/>
    <w:next w:val="Style_3"/>
    <w:link w:val="Style_42_ch"/>
    <w:uiPriority w:val="39"/>
    <w:pPr>
      <w:ind w:firstLine="0" w:left="1400"/>
    </w:pPr>
    <w:rPr>
      <w:sz w:val="28"/>
    </w:rPr>
  </w:style>
  <w:style w:styleId="Style_42_ch" w:type="character">
    <w:name w:val="toc 8"/>
    <w:link w:val="Style_42"/>
    <w:rPr>
      <w:sz w:val="28"/>
    </w:rPr>
  </w:style>
  <w:style w:styleId="Style_27" w:type="paragraph">
    <w:name w:val="Содержимое таблицы"/>
    <w:basedOn w:val="Style_3"/>
    <w:link w:val="Style_27_ch"/>
    <w:pPr>
      <w:widowControl w:val="0"/>
      <w:ind/>
    </w:pPr>
  </w:style>
  <w:style w:styleId="Style_27_ch" w:type="character">
    <w:name w:val="Содержимое таблицы"/>
    <w:basedOn w:val="Style_3_ch"/>
    <w:link w:val="Style_27"/>
  </w:style>
  <w:style w:styleId="Style_43" w:type="paragraph">
    <w:name w:val="Гиперссылка1"/>
    <w:link w:val="Style_43_ch"/>
    <w:rPr>
      <w:color w:val="0000FF"/>
      <w:u w:val="single"/>
    </w:rPr>
  </w:style>
  <w:style w:styleId="Style_43_ch" w:type="character">
    <w:name w:val="Гиперссылка1"/>
    <w:link w:val="Style_43"/>
    <w:rPr>
      <w:color w:val="0000FF"/>
      <w:u w:val="single"/>
    </w:rPr>
  </w:style>
  <w:style w:styleId="Style_44" w:type="paragraph">
    <w:name w:val="toc 5"/>
    <w:next w:val="Style_3"/>
    <w:link w:val="Style_44_ch"/>
    <w:uiPriority w:val="39"/>
    <w:pPr>
      <w:ind w:firstLine="0" w:left="800"/>
    </w:pPr>
    <w:rPr>
      <w:sz w:val="28"/>
    </w:rPr>
  </w:style>
  <w:style w:styleId="Style_44_ch" w:type="character">
    <w:name w:val="toc 5"/>
    <w:link w:val="Style_44"/>
    <w:rPr>
      <w:sz w:val="28"/>
    </w:rPr>
  </w:style>
  <w:style w:styleId="Style_1" w:type="paragraph">
    <w:name w:val="Body Text"/>
    <w:basedOn w:val="Style_3"/>
    <w:link w:val="Style_1_ch"/>
    <w:pPr>
      <w:spacing w:after="140" w:line="276" w:lineRule="auto"/>
      <w:ind/>
    </w:pPr>
  </w:style>
  <w:style w:styleId="Style_1_ch" w:type="character">
    <w:name w:val="Body Text"/>
    <w:basedOn w:val="Style_3_ch"/>
    <w:link w:val="Style_1"/>
  </w:style>
  <w:style w:styleId="Style_45" w:type="paragraph">
    <w:name w:val="Subtitle"/>
    <w:next w:val="Style_3"/>
    <w:link w:val="Style_45_ch"/>
    <w:uiPriority w:val="11"/>
    <w:qFormat/>
    <w:pPr>
      <w:ind/>
      <w:jc w:val="both"/>
    </w:pPr>
    <w:rPr>
      <w:i w:val="1"/>
    </w:rPr>
  </w:style>
  <w:style w:styleId="Style_45_ch" w:type="character">
    <w:name w:val="Subtitle"/>
    <w:link w:val="Style_45"/>
    <w:rPr>
      <w:i w:val="1"/>
    </w:rPr>
  </w:style>
  <w:style w:styleId="Style_46" w:type="paragraph">
    <w:name w:val="Заголовок 41"/>
    <w:link w:val="Style_46_ch"/>
    <w:rPr>
      <w:rFonts w:ascii="XO Thames" w:hAnsi="XO Thames"/>
      <w:b w:val="1"/>
      <w:sz w:val="24"/>
    </w:rPr>
  </w:style>
  <w:style w:styleId="Style_46_ch" w:type="character">
    <w:name w:val="Заголовок 41"/>
    <w:link w:val="Style_46"/>
    <w:rPr>
      <w:rFonts w:ascii="XO Thames" w:hAnsi="XO Thames"/>
      <w:b w:val="1"/>
      <w:sz w:val="24"/>
    </w:rPr>
  </w:style>
  <w:style w:styleId="Style_47" w:type="paragraph">
    <w:name w:val="Title"/>
    <w:next w:val="Style_3"/>
    <w:link w:val="Style_47_ch"/>
    <w:uiPriority w:val="10"/>
    <w:qFormat/>
    <w:pPr>
      <w:spacing w:after="567" w:before="567"/>
      <w:ind/>
      <w:jc w:val="center"/>
    </w:pPr>
    <w:rPr>
      <w:b w:val="1"/>
      <w:caps w:val="1"/>
      <w:sz w:val="40"/>
    </w:rPr>
  </w:style>
  <w:style w:styleId="Style_47_ch" w:type="character">
    <w:name w:val="Title"/>
    <w:link w:val="Style_47"/>
    <w:rPr>
      <w:b w:val="1"/>
      <w:caps w:val="1"/>
      <w:sz w:val="40"/>
    </w:rPr>
  </w:style>
  <w:style w:styleId="Style_48" w:type="paragraph">
    <w:name w:val="heading 4"/>
    <w:next w:val="Style_3"/>
    <w:link w:val="Style_48_ch"/>
    <w:uiPriority w:val="9"/>
    <w:qFormat/>
    <w:pPr>
      <w:spacing w:after="120" w:before="120"/>
      <w:ind/>
      <w:jc w:val="both"/>
      <w:outlineLvl w:val="3"/>
    </w:pPr>
    <w:rPr>
      <w:b w:val="1"/>
    </w:rPr>
  </w:style>
  <w:style w:styleId="Style_48_ch" w:type="character">
    <w:name w:val="heading 4"/>
    <w:link w:val="Style_48"/>
    <w:rPr>
      <w:b w:val="1"/>
    </w:rPr>
  </w:style>
  <w:style w:styleId="Style_49" w:type="paragraph">
    <w:name w:val="List"/>
    <w:basedOn w:val="Style_1"/>
    <w:link w:val="Style_49_ch"/>
  </w:style>
  <w:style w:styleId="Style_49_ch" w:type="character">
    <w:name w:val="List"/>
    <w:basedOn w:val="Style_1_ch"/>
    <w:link w:val="Style_49"/>
  </w:style>
  <w:style w:styleId="Style_50" w:type="paragraph">
    <w:name w:val="heading 2"/>
    <w:next w:val="Style_3"/>
    <w:link w:val="Style_50_ch"/>
    <w:uiPriority w:val="9"/>
    <w:qFormat/>
    <w:pPr>
      <w:spacing w:after="120" w:before="120"/>
      <w:ind/>
      <w:jc w:val="both"/>
      <w:outlineLvl w:val="1"/>
    </w:pPr>
    <w:rPr>
      <w:b w:val="1"/>
      <w:sz w:val="28"/>
    </w:rPr>
  </w:style>
  <w:style w:styleId="Style_50_ch" w:type="character">
    <w:name w:val="heading 2"/>
    <w:link w:val="Style_50"/>
    <w:rPr>
      <w:b w:val="1"/>
      <w:sz w:val="28"/>
    </w:rPr>
  </w:style>
  <w:style w:styleId="Style_51" w:type="paragraph">
    <w:name w:val="Footnote"/>
    <w:link w:val="Style_51_ch"/>
    <w:rPr>
      <w:rFonts w:ascii="XO Thames" w:hAnsi="XO Thames"/>
      <w:sz w:val="22"/>
    </w:rPr>
  </w:style>
  <w:style w:styleId="Style_51_ch" w:type="character">
    <w:name w:val="Footnote"/>
    <w:link w:val="Style_51"/>
    <w:rPr>
      <w:rFonts w:ascii="XO Thames" w:hAnsi="XO Thames"/>
      <w:sz w:val="22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2025-06-19T15:38:34Z</dcterms:modified>
</cp:coreProperties>
</file>